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r w:rsidR="008D1CDD" w:rsidRPr="008D1CDD">
              <w:rPr>
                <w:sz w:val="20"/>
                <w:szCs w:val="20"/>
              </w:rPr>
              <w:t xml:space="preserve">2017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67274D">
              <w:rPr>
                <w:sz w:val="20"/>
                <w:u w:val="single"/>
              </w:rPr>
              <w:t>ОБЩЕСТВО С ОГРАНИЧЕННОЙ ОТВЕТСТВЕННОСТЬЮ "ЛЕРУА МЕРЛЕН ВОСТОК"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13390132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5029069967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47.59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1807445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1541908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91039178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72235375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6702764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7787460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729369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651945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981666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922058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101260423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83138745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36331451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30432488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1165580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655159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8969197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7558245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2151132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1029196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1397327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2126685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50014688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41801774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151275111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124940519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5980400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5980400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39821214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34690515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45803484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40672785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IV. ДОЛГОСРОЧНЫЕ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25207356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22081110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1429775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783870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26637131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22864980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13422413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8891010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63595632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51171148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1410533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625223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405918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715373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78834496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61402754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151275111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124940519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67274D">
              <w:rPr>
                <w:sz w:val="20"/>
                <w:u w:val="single"/>
              </w:rPr>
              <w:t>ОБЩЕСТВО С ОГРАНИЧЕННОЙ ОТВЕТСТВЕННОСТЬЮ "ЛЕРУА МЕРЛЕН ВОСТОК"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13390132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5029069967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47.59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226687249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187231786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(180699488)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(149487184)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45987761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37744602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(39953864)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(31682950)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(6764147)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(6060838)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-730250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322462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2874028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2843357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22561650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19705064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11684438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7174839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7438949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10010144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1748470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2249208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829160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587096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-645904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-545145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77425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205230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4943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7425964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7425964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67274D">
              <w:rPr>
                <w:sz w:val="20"/>
                <w:u w:val="single"/>
              </w:rPr>
              <w:t>ОБЩЕСТВО С ОГРАНИЧЕННОЙ ОТВЕТСТВЕННОСТЬЮ "ЛЕРУА МЕРЛЕН ВОСТОК"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13390132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5029069967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47.59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5980400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34690515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40672785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5130699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5980400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39821214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45803484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45803484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40672785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"ЛЕРУА МЕРЛЕН ВОСТОК"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13390132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5029069967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47.59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131575078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117292999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12841417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1440662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115812957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89207414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13211465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2863353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2536789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7993936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15762121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179609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внеоборотных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175225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4384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21545045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внеоборотных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21198929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345116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1000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-21365436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14118393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14118393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6996775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6995178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1597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7121618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1518303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-396367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"ЛЕРУА МЕРЛЕН ВОСТОК"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13390132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5029069967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47.59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“Паевый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48" w:rsidRDefault="00C50048" w:rsidP="00FC38C9">
      <w:r>
        <w:separator/>
      </w:r>
    </w:p>
  </w:endnote>
  <w:endnote w:type="continuationSeparator" w:id="1">
    <w:p w:rsidR="00C50048" w:rsidRDefault="00C50048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407B24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C50048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C50048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48" w:rsidRDefault="00C50048" w:rsidP="00FC38C9">
      <w:r>
        <w:separator/>
      </w:r>
    </w:p>
  </w:footnote>
  <w:footnote w:type="continuationSeparator" w:id="1">
    <w:p w:rsidR="00C50048" w:rsidRDefault="00C50048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044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07B24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7274D"/>
    <w:rsid w:val="0069776A"/>
    <w:rsid w:val="00726038"/>
    <w:rsid w:val="00746913"/>
    <w:rsid w:val="0077619C"/>
    <w:rsid w:val="007A25D3"/>
    <w:rsid w:val="007A6980"/>
    <w:rsid w:val="007C78C4"/>
    <w:rsid w:val="007D5B8C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50048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8735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26" Type="http://schemas.openxmlformats.org/officeDocument/2006/relationships/hyperlink" Target="garantF1://565873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39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25" Type="http://schemas.openxmlformats.org/officeDocument/2006/relationships/hyperlink" Target="garantF1://791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8735.0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120179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12020330.0" TargetMode="External"/><Relationship Id="rId28" Type="http://schemas.openxmlformats.org/officeDocument/2006/relationships/hyperlink" Target="garantF1://12017985.0" TargetMode="External"/><Relationship Id="rId10" Type="http://schemas.openxmlformats.org/officeDocument/2006/relationships/hyperlink" Target="garantF1://1201798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hyperlink" Target="garantF1://5658735.0" TargetMode="External"/><Relationship Id="rId27" Type="http://schemas.openxmlformats.org/officeDocument/2006/relationships/hyperlink" Target="garantF1://1202033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v.waschuk</dc:creator>
  <cp:lastModifiedBy>buh</cp:lastModifiedBy>
  <cp:revision>2</cp:revision>
  <dcterms:created xsi:type="dcterms:W3CDTF">2019-09-26T11:17:00Z</dcterms:created>
  <dcterms:modified xsi:type="dcterms:W3CDTF">2019-09-26T11:17:00Z</dcterms:modified>
</cp:coreProperties>
</file>