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5F" w:rsidRPr="00475D24" w:rsidRDefault="007473FB" w:rsidP="00475D24">
      <w:pPr>
        <w:pStyle w:val="1"/>
        <w:spacing w:before="0" w:after="0" w:line="360" w:lineRule="auto"/>
        <w:ind w:right="-1283"/>
        <w:jc w:val="center"/>
        <w:rPr>
          <w:rFonts w:ascii="Times New Roman" w:hAnsi="Times New Roman"/>
          <w:sz w:val="32"/>
        </w:rPr>
      </w:pPr>
      <w:r w:rsidRPr="00475D24">
        <w:rPr>
          <w:rFonts w:ascii="Times New Roman" w:hAnsi="Times New Roman"/>
          <w:sz w:val="28"/>
        </w:rPr>
        <w:t>Д</w:t>
      </w:r>
      <w:r w:rsidR="00475D24" w:rsidRPr="00475D24">
        <w:rPr>
          <w:rFonts w:ascii="Times New Roman" w:hAnsi="Times New Roman"/>
          <w:sz w:val="28"/>
        </w:rPr>
        <w:t>олжностная инструкци</w:t>
      </w:r>
      <w:bookmarkStart w:id="0" w:name="_GoBack"/>
      <w:bookmarkEnd w:id="0"/>
      <w:r w:rsidR="00475D24" w:rsidRPr="00475D24">
        <w:rPr>
          <w:rFonts w:ascii="Times New Roman" w:hAnsi="Times New Roman"/>
          <w:sz w:val="28"/>
        </w:rPr>
        <w:t>я бухгалтера-ревизора</w:t>
      </w:r>
    </w:p>
    <w:p w:rsidR="009B205F" w:rsidRDefault="009B205F">
      <w:pPr>
        <w:rPr>
          <w:snapToGrid w:val="0"/>
          <w:color w:val="000000"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3060"/>
      </w:tblGrid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52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  <w:tc>
          <w:tcPr>
            <w:tcW w:w="164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  <w:tc>
          <w:tcPr>
            <w:tcW w:w="164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552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521" w:type="dxa"/>
            <w:gridSpan w:val="3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521" w:type="dxa"/>
            <w:gridSpan w:val="3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521" w:type="dxa"/>
            <w:gridSpan w:val="3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  № 00</w:t>
            </w:r>
          </w:p>
        </w:tc>
        <w:tc>
          <w:tcPr>
            <w:tcW w:w="5521" w:type="dxa"/>
            <w:gridSpan w:val="3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552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бухгалтера-ревизора</w:t>
            </w:r>
          </w:p>
        </w:tc>
        <w:tc>
          <w:tcPr>
            <w:tcW w:w="5521" w:type="dxa"/>
            <w:gridSpan w:val="3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00.00.200_ </w:t>
            </w:r>
          </w:p>
        </w:tc>
        <w:tc>
          <w:tcPr>
            <w:tcW w:w="82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06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9B205F" w:rsidRDefault="009B205F">
      <w:pPr>
        <w:jc w:val="both"/>
        <w:rPr>
          <w:snapToGrid w:val="0"/>
          <w:color w:val="000000"/>
          <w:sz w:val="22"/>
        </w:rPr>
      </w:pPr>
    </w:p>
    <w:p w:rsidR="009B205F" w:rsidRDefault="009B205F">
      <w:pPr>
        <w:rPr>
          <w:snapToGrid w:val="0"/>
          <w:color w:val="000000"/>
          <w:sz w:val="22"/>
        </w:rPr>
      </w:pPr>
    </w:p>
    <w:p w:rsidR="009B205F" w:rsidRDefault="009B205F" w:rsidP="00475D24">
      <w:pPr>
        <w:pStyle w:val="a4"/>
        <w:ind w:right="-999"/>
        <w:jc w:val="both"/>
        <w:rPr>
          <w:snapToGrid w:val="0"/>
        </w:rPr>
      </w:pPr>
      <w:r>
        <w:rPr>
          <w:snapToGrid w:val="0"/>
        </w:rPr>
        <w:t>I. Общие положения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1. Бухгалтер-ревизор относится к категории специалистов.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2. На должность: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- бухгалтера-ревизора назначается лицо, имеющее среднее профессиональное (образование) без предъявления требований к стажу работы или специальную подготовку по установленной программе и стаж работы по учету и контролю не менее 3 лет;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- бухгалтера-ревизора II категории назначается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бухгалтера-ревизора не менее 3 лет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- бухгалтера-ревизора I категории - лицо, имеющее высшее профессиональное (экономическое) образование и стаж работы в должности бухгалтера-ревизора II категории не менее 3 лет.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3. Назначение на должность бухгалтера-ревизора и освобождение от нее производится приказом директора предприятия по представлению главного бухгалтера.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4. Бухгалтер-ревизор должен знать: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4.1.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 составления отчетности.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4.2. Формы и методы бухгалтерского учета и анализа хозяйственной деятельности на предприятии.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4.3. Порядок проведения документальных ревизий и проверок правильности ведения бухгалтерского учета имущества, обязательств и хозяйственных операций.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4.4. Организацию документооборота и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9B205F" w:rsidRDefault="009B205F" w:rsidP="00475D24">
      <w:pPr>
        <w:ind w:right="-1141"/>
        <w:jc w:val="both"/>
        <w:rPr>
          <w:snapToGrid w:val="0"/>
          <w:sz w:val="22"/>
        </w:rPr>
      </w:pPr>
      <w:r>
        <w:rPr>
          <w:snapToGrid w:val="0"/>
          <w:sz w:val="22"/>
        </w:rPr>
        <w:t>4.5. План и корреспонденцию счетов.</w:t>
      </w:r>
    </w:p>
    <w:p w:rsidR="009B205F" w:rsidRDefault="009B205F" w:rsidP="00475D24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4.6. Финансовое и хозяйственное законодательство.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20"/>
        <w:gridCol w:w="841"/>
      </w:tblGrid>
      <w:tr w:rsidR="009B205F" w:rsidTr="00475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4.7. 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841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.</w:t>
            </w:r>
          </w:p>
        </w:tc>
      </w:tr>
    </w:tbl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4.8. Основы экономики, организации производства, труда и управления, основы организации механизированной обработки экономической информации.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4.9. Рыночные методы хозяйствования.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4.10. Правила эксплуатации вычислительной техники.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4.11 Законодательство о труде.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4.12. Правила внутреннего трудового распорядка.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4.13. Правила и нормы охраны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48"/>
        <w:gridCol w:w="244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4.14. </w:t>
            </w:r>
          </w:p>
        </w:tc>
        <w:tc>
          <w:tcPr>
            <w:tcW w:w="7948" w:type="dxa"/>
            <w:tcBorders>
              <w:bottom w:val="single" w:sz="6" w:space="0" w:color="auto"/>
            </w:tcBorders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244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.</w:t>
            </w:r>
          </w:p>
        </w:tc>
      </w:tr>
    </w:tbl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5. Бухгалтер-ревизор в своей работе руководствуется: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5.1. Положением о бухгалтерии организации.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5.2. Настоящей должностной инструкцией.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20"/>
        <w:gridCol w:w="273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5.3. 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273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.</w:t>
            </w:r>
          </w:p>
        </w:tc>
      </w:tr>
    </w:tbl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6. Бухгалтер-ревизор подчиняется непосредственно главному бухгалтеру организации или руководителю соответствующего структурного подразделения главной бухгалтерии.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7. На время отсутствия бухгалтера-ревизора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8. </w:t>
            </w:r>
          </w:p>
        </w:tc>
        <w:tc>
          <w:tcPr>
            <w:tcW w:w="7862" w:type="dxa"/>
            <w:tcBorders>
              <w:bottom w:val="single" w:sz="6" w:space="0" w:color="auto"/>
            </w:tcBorders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345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.</w:t>
            </w:r>
          </w:p>
        </w:tc>
      </w:tr>
    </w:tbl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pStyle w:val="a4"/>
        <w:ind w:right="-999"/>
        <w:jc w:val="both"/>
        <w:rPr>
          <w:snapToGrid w:val="0"/>
        </w:rPr>
      </w:pPr>
      <w:r>
        <w:rPr>
          <w:snapToGrid w:val="0"/>
        </w:rPr>
        <w:t>II. Должностные обязанности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Бухгалтер-ревизор: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1. Осуществляет в соответствии с действующими инструкциями и положениями плановые и по специальным заданиям документальные ревизии хозяйственно-финансовой деятельности предприятий, а также их подразделений, находящихся на самостоятельном балансе, по ведению бухгалтерского учета имущества, обязательств и хозяйственных операций.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2. Своевременно оформляет результаты ревизии и представляет их в соответствующие инстанции для принятия необходимых мер.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3. Дает оперативные указания руководителям ревизуемого объекта об устранении выявленных нарушений и недостатков, проведении контрольных проверок выполненных работ.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 Контролирует: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4.1. Достоверность учета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4.2. Правильность расходования материалов, топлива, электроэнергии, денежных средств, соблюдения смет расходов.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4.3. Порядок составления отчетности на основе первичных документов.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4.4. Организацию проведения инвентаризаций и бухгалтерского учета в подразделениях предприятия.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4.5. Соблюдение сроков перечисления налогов и сборов и выплаты заработной платы.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5. Участвует в разработке и осуществлении мер, направленных на повышение эффективности использования финансовых средств, их экономию, усиление контроля за хозяйственно-финансовой деятельностью предприятия, обеспечение сохранности собственности предприятия и правильной организации бухгалтерского учета.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6. Принимает необходимы меры по использованию в работе современных технических средств.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7. Контролирует деятельность работников предприятия по вопросам ведения бухгалтерского учета и отчетности.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8. Выполняет отдельные служебные поручения своего непосредственного руководителя.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9. </w:t>
            </w:r>
          </w:p>
        </w:tc>
        <w:tc>
          <w:tcPr>
            <w:tcW w:w="7862" w:type="dxa"/>
            <w:tcBorders>
              <w:bottom w:val="single" w:sz="6" w:space="0" w:color="auto"/>
            </w:tcBorders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345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.</w:t>
            </w:r>
          </w:p>
        </w:tc>
      </w:tr>
    </w:tbl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pStyle w:val="a4"/>
        <w:ind w:right="-999"/>
        <w:jc w:val="both"/>
        <w:rPr>
          <w:snapToGrid w:val="0"/>
        </w:rPr>
      </w:pPr>
      <w:r>
        <w:rPr>
          <w:snapToGrid w:val="0"/>
        </w:rPr>
        <w:t>III. Права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Бухгалтер-ревизор имеет право: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1. Знакомиться с проектами решений руководства предприятия, касающимися его деятельности.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2. Вносить предложения по совершенствованию работы, связанной с предусмотренными настоящей инструкцией обязанностями.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3. В пределах своей компетенции сообщать непосредственному руководителю о всех недостатках в деятельности предприятия (структурного подразделения, отдельных работников), выявленных в процессе исполнения своих должностных прав и обязанностей и вносить предложения по их устранению.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4. Запрашивать лично или по поручению руководителя от работников подразделений предприятия информацию и документы, необходимые для выполнения его должностных обязанностей.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6. Требовать от руководства предприятия оказания содействия в исполнении своих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7. </w:t>
            </w:r>
          </w:p>
        </w:tc>
        <w:tc>
          <w:tcPr>
            <w:tcW w:w="7862" w:type="dxa"/>
            <w:tcBorders>
              <w:bottom w:val="single" w:sz="6" w:space="0" w:color="auto"/>
            </w:tcBorders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</w:p>
        </w:tc>
        <w:tc>
          <w:tcPr>
            <w:tcW w:w="345" w:type="dxa"/>
          </w:tcPr>
          <w:p w:rsidR="009B205F" w:rsidRDefault="009B205F" w:rsidP="00475D24">
            <w:pPr>
              <w:jc w:val="both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.</w:t>
            </w:r>
          </w:p>
        </w:tc>
      </w:tr>
    </w:tbl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jc w:val="both"/>
        <w:rPr>
          <w:snapToGrid w:val="0"/>
          <w:sz w:val="22"/>
        </w:rPr>
      </w:pPr>
    </w:p>
    <w:p w:rsidR="009B205F" w:rsidRDefault="009B205F" w:rsidP="00475D24">
      <w:pPr>
        <w:pStyle w:val="a4"/>
        <w:ind w:right="-999"/>
        <w:jc w:val="both"/>
        <w:rPr>
          <w:snapToGrid w:val="0"/>
        </w:rPr>
      </w:pPr>
      <w:r>
        <w:rPr>
          <w:snapToGrid w:val="0"/>
        </w:rPr>
        <w:t>IV. Ответственность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Бухгалтер-ревизор несет ответственность: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9B205F" w:rsidRDefault="009B205F" w:rsidP="00475D24">
      <w:pPr>
        <w:ind w:right="-999"/>
        <w:jc w:val="both"/>
        <w:rPr>
          <w:snapToGrid w:val="0"/>
          <w:sz w:val="22"/>
        </w:rPr>
      </w:pPr>
      <w:r>
        <w:rPr>
          <w:snapToGrid w:val="0"/>
          <w:sz w:val="22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862"/>
        <w:gridCol w:w="345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4. </w:t>
            </w:r>
          </w:p>
        </w:tc>
        <w:tc>
          <w:tcPr>
            <w:tcW w:w="7862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45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B205F" w:rsidRDefault="009B205F">
      <w:pPr>
        <w:jc w:val="both"/>
        <w:rPr>
          <w:snapToGrid w:val="0"/>
          <w:color w:val="000000"/>
          <w:sz w:val="22"/>
        </w:rPr>
      </w:pPr>
    </w:p>
    <w:p w:rsidR="009B205F" w:rsidRDefault="009B205F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9B205F" w:rsidRDefault="009B205F">
      <w:pPr>
        <w:jc w:val="both"/>
        <w:rPr>
          <w:snapToGrid w:val="0"/>
          <w:color w:val="000000"/>
          <w:sz w:val="22"/>
        </w:rPr>
      </w:pPr>
    </w:p>
    <w:p w:rsidR="009B205F" w:rsidRDefault="009B205F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</w:t>
            </w: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Начальник юридического отдела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 инструкцией ознакомлен:</w:t>
            </w: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9B2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00.00.200_</w:t>
            </w:r>
          </w:p>
        </w:tc>
        <w:tc>
          <w:tcPr>
            <w:tcW w:w="187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B205F" w:rsidRDefault="009B205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9B205F" w:rsidRDefault="009B205F">
      <w:pPr>
        <w:jc w:val="both"/>
      </w:pPr>
    </w:p>
    <w:p w:rsidR="009B205F" w:rsidRDefault="009B205F">
      <w:pPr>
        <w:jc w:val="both"/>
      </w:pPr>
    </w:p>
    <w:p w:rsidR="009B205F" w:rsidRDefault="009B205F"/>
    <w:sectPr w:rsidR="009B205F" w:rsidSect="00475D24">
      <w:pgSz w:w="12240" w:h="15840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2" w15:restartNumberingAfterBreak="0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7"/>
  </w:num>
  <w:num w:numId="5">
    <w:abstractNumId w:val="34"/>
  </w:num>
  <w:num w:numId="6">
    <w:abstractNumId w:val="25"/>
  </w:num>
  <w:num w:numId="7">
    <w:abstractNumId w:val="9"/>
  </w:num>
  <w:num w:numId="8">
    <w:abstractNumId w:val="16"/>
  </w:num>
  <w:num w:numId="9">
    <w:abstractNumId w:val="31"/>
  </w:num>
  <w:num w:numId="10">
    <w:abstractNumId w:val="0"/>
  </w:num>
  <w:num w:numId="11">
    <w:abstractNumId w:val="33"/>
  </w:num>
  <w:num w:numId="12">
    <w:abstractNumId w:val="36"/>
  </w:num>
  <w:num w:numId="13">
    <w:abstractNumId w:val="20"/>
  </w:num>
  <w:num w:numId="14">
    <w:abstractNumId w:val="26"/>
  </w:num>
  <w:num w:numId="15">
    <w:abstractNumId w:val="5"/>
  </w:num>
  <w:num w:numId="16">
    <w:abstractNumId w:val="30"/>
  </w:num>
  <w:num w:numId="17">
    <w:abstractNumId w:val="37"/>
  </w:num>
  <w:num w:numId="18">
    <w:abstractNumId w:val="19"/>
  </w:num>
  <w:num w:numId="19">
    <w:abstractNumId w:val="6"/>
  </w:num>
  <w:num w:numId="20">
    <w:abstractNumId w:val="23"/>
  </w:num>
  <w:num w:numId="21">
    <w:abstractNumId w:val="27"/>
  </w:num>
  <w:num w:numId="22">
    <w:abstractNumId w:val="35"/>
  </w:num>
  <w:num w:numId="23">
    <w:abstractNumId w:val="2"/>
  </w:num>
  <w:num w:numId="24">
    <w:abstractNumId w:val="11"/>
  </w:num>
  <w:num w:numId="25">
    <w:abstractNumId w:val="29"/>
  </w:num>
  <w:num w:numId="26">
    <w:abstractNumId w:val="15"/>
  </w:num>
  <w:num w:numId="27">
    <w:abstractNumId w:val="10"/>
  </w:num>
  <w:num w:numId="28">
    <w:abstractNumId w:val="32"/>
  </w:num>
  <w:num w:numId="29">
    <w:abstractNumId w:val="1"/>
  </w:num>
  <w:num w:numId="30">
    <w:abstractNumId w:val="12"/>
  </w:num>
  <w:num w:numId="31">
    <w:abstractNumId w:val="3"/>
  </w:num>
  <w:num w:numId="32">
    <w:abstractNumId w:val="14"/>
  </w:num>
  <w:num w:numId="33">
    <w:abstractNumId w:val="4"/>
  </w:num>
  <w:num w:numId="34">
    <w:abstractNumId w:val="17"/>
  </w:num>
  <w:num w:numId="35">
    <w:abstractNumId w:val="22"/>
  </w:num>
  <w:num w:numId="36">
    <w:abstractNumId w:val="21"/>
  </w:num>
  <w:num w:numId="37">
    <w:abstractNumId w:val="38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B"/>
    <w:rsid w:val="00475D24"/>
    <w:rsid w:val="007473FB"/>
    <w:rsid w:val="009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4CF79-6A17-48B2-BD26-E1444C7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character" w:customStyle="1" w:styleId="10">
    <w:name w:val="Заголовок 1 Знак"/>
    <w:basedOn w:val="a0"/>
    <w:rPr>
      <w:rFonts w:ascii="Arial" w:hAnsi="Arial"/>
      <w:b/>
      <w:noProof w:val="0"/>
      <w:color w:val="000000"/>
      <w:kern w:val="32"/>
      <w:sz w:val="30"/>
      <w:lang w:val="ru-RU"/>
    </w:rPr>
  </w:style>
  <w:style w:type="paragraph" w:customStyle="1" w:styleId="FR1">
    <w:name w:val="FR1"/>
    <w:pPr>
      <w:widowControl w:val="0"/>
      <w:spacing w:line="260" w:lineRule="auto"/>
      <w:ind w:firstLine="400"/>
    </w:pPr>
    <w:rPr>
      <w:rFonts w:ascii="Arial" w:hAnsi="Arial"/>
      <w:sz w:val="18"/>
    </w:rPr>
  </w:style>
  <w:style w:type="paragraph" w:styleId="a6">
    <w:name w:val="Body Text Indent"/>
    <w:basedOn w:val="a"/>
    <w:pPr>
      <w:ind w:firstLine="5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</vt:lpstr>
    </vt:vector>
  </TitlesOfParts>
  <Company>001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001</dc:creator>
  <cp:keywords/>
  <cp:lastModifiedBy>Виктория Барбаева</cp:lastModifiedBy>
  <cp:revision>2</cp:revision>
  <dcterms:created xsi:type="dcterms:W3CDTF">2017-02-15T10:19:00Z</dcterms:created>
  <dcterms:modified xsi:type="dcterms:W3CDTF">2017-02-15T10:19:00Z</dcterms:modified>
</cp:coreProperties>
</file>